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B07" w14:textId="77777777" w:rsidR="00800CCF" w:rsidRDefault="00800CCF" w:rsidP="00800CCF">
      <w:pPr>
        <w:spacing w:line="240" w:lineRule="auto"/>
        <w:jc w:val="both"/>
        <w:rPr>
          <w:rFonts w:cstheme="minorHAnsi"/>
          <w:color w:val="1C2024"/>
          <w:shd w:val="clear" w:color="auto" w:fill="FFFFFF"/>
        </w:rPr>
      </w:pPr>
    </w:p>
    <w:p w14:paraId="56763DFF" w14:textId="77777777" w:rsidR="00800CCF" w:rsidRDefault="00800CCF" w:rsidP="00800CCF">
      <w:pPr>
        <w:spacing w:line="240" w:lineRule="auto"/>
        <w:jc w:val="both"/>
        <w:rPr>
          <w:rFonts w:cstheme="minorHAnsi"/>
          <w:color w:val="1C2024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0CCF" w14:paraId="733EDDD4" w14:textId="77777777" w:rsidTr="002E114E">
        <w:tc>
          <w:tcPr>
            <w:tcW w:w="9628" w:type="dxa"/>
          </w:tcPr>
          <w:p w14:paraId="11355367" w14:textId="77777777" w:rsidR="00800CCF" w:rsidRPr="00604BA0" w:rsidRDefault="00800CCF" w:rsidP="002E114E">
            <w:pPr>
              <w:jc w:val="both"/>
              <w:rPr>
                <w:rFonts w:cstheme="minorHAnsi"/>
                <w:b/>
                <w:bCs/>
                <w:color w:val="1C2024"/>
                <w:shd w:val="clear" w:color="auto" w:fill="FFFFFF"/>
              </w:rPr>
            </w:pPr>
            <w:r w:rsidRPr="00604BA0">
              <w:rPr>
                <w:rFonts w:cstheme="minorHAnsi"/>
                <w:b/>
                <w:bCs/>
                <w:color w:val="1C2024"/>
                <w:shd w:val="clear" w:color="auto" w:fill="FFFFFF"/>
              </w:rPr>
              <w:t xml:space="preserve">Allegato - </w:t>
            </w:r>
            <w:proofErr w:type="spellStart"/>
            <w:r w:rsidRPr="00604BA0">
              <w:rPr>
                <w:rFonts w:cstheme="minorHAnsi"/>
                <w:b/>
                <w:bCs/>
                <w:color w:val="1C2024"/>
                <w:shd w:val="clear" w:color="auto" w:fill="FFFFFF"/>
              </w:rPr>
              <w:t>Atuss</w:t>
            </w:r>
            <w:proofErr w:type="spellEnd"/>
            <w:r w:rsidRPr="00604BA0">
              <w:rPr>
                <w:rFonts w:cstheme="minorHAnsi"/>
                <w:b/>
                <w:bCs/>
                <w:color w:val="1C2024"/>
                <w:shd w:val="clear" w:color="auto" w:fill="FFFFFF"/>
              </w:rPr>
              <w:t xml:space="preserve"> Unione Terre d’Argine: i progetti</w:t>
            </w:r>
          </w:p>
          <w:p w14:paraId="45CD623F" w14:textId="77777777" w:rsidR="00800CCF" w:rsidRDefault="00800CCF" w:rsidP="002E114E">
            <w:pPr>
              <w:jc w:val="both"/>
              <w:rPr>
                <w:rFonts w:cstheme="minorHAnsi"/>
                <w:color w:val="1C2024"/>
                <w:shd w:val="clear" w:color="auto" w:fill="FFFFFF"/>
              </w:rPr>
            </w:pPr>
          </w:p>
        </w:tc>
      </w:tr>
    </w:tbl>
    <w:p w14:paraId="688B671F" w14:textId="77777777" w:rsidR="00800CCF" w:rsidRPr="00F77E67" w:rsidRDefault="00800CCF" w:rsidP="00800CCF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46FFF052" w14:textId="77777777" w:rsidR="00800CCF" w:rsidRPr="00604BA0" w:rsidRDefault="00800CCF" w:rsidP="00800CCF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cstheme="minorHAnsi"/>
          <w:b/>
          <w:bCs/>
        </w:rPr>
      </w:pPr>
      <w:r w:rsidRPr="00604BA0">
        <w:rPr>
          <w:rFonts w:cstheme="minorHAnsi"/>
          <w:b/>
          <w:bCs/>
        </w:rPr>
        <w:t>PAROLE CHIAVE DELLA STRATEGIA</w:t>
      </w:r>
    </w:p>
    <w:p w14:paraId="63B34E62" w14:textId="77777777" w:rsidR="00800CCF" w:rsidRPr="00F77E67" w:rsidRDefault="00800CCF" w:rsidP="00800CCF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cstheme="minorHAnsi"/>
        </w:rPr>
      </w:pPr>
      <w:r w:rsidRPr="00F77E67">
        <w:rPr>
          <w:rFonts w:cstheme="minorHAnsi"/>
        </w:rPr>
        <w:t>Relazioni – Benessere – Resilienza – Qualità – Innovazione – Identità – Inclusione</w:t>
      </w:r>
    </w:p>
    <w:p w14:paraId="653D1EF0" w14:textId="77777777" w:rsidR="00800CCF" w:rsidRPr="00604BA0" w:rsidRDefault="00800CCF" w:rsidP="00800CCF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cstheme="minorHAnsi"/>
          <w:b/>
          <w:bCs/>
        </w:rPr>
      </w:pPr>
      <w:r w:rsidRPr="00604BA0">
        <w:rPr>
          <w:rFonts w:cstheme="minorHAnsi"/>
          <w:b/>
          <w:bCs/>
        </w:rPr>
        <w:t>OBIETTIVI E PROGETTI</w:t>
      </w:r>
    </w:p>
    <w:p w14:paraId="74D8B7A0" w14:textId="77777777" w:rsidR="00800CCF" w:rsidRPr="00F77E67" w:rsidRDefault="00800CCF" w:rsidP="00800CCF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cstheme="minorHAnsi"/>
        </w:rPr>
      </w:pPr>
      <w:r w:rsidRPr="00F77E67">
        <w:rPr>
          <w:rFonts w:cstheme="minorHAnsi"/>
        </w:rPr>
        <w:t>Gli obiettivi strategici fondamentali dell’Agenda Trasformativa Urbana dello Sviluppo Sostenibile dell’Unione delle Terre d’Argine poggiano le proprie basi sulla programmazione dell’Ente ed in particolare nel Patto per la Scuola e nella Strategia per la qualità urbana ed ecologico ambientale delineata attraverso il Piano Urbanistico generale intercomunale.</w:t>
      </w:r>
    </w:p>
    <w:p w14:paraId="3909582E" w14:textId="77777777" w:rsidR="00800CCF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</w:rPr>
      </w:pPr>
      <w:r w:rsidRPr="00831FD3">
        <w:rPr>
          <w:rFonts w:cstheme="minorHAnsi"/>
        </w:rPr>
        <w:t xml:space="preserve">Potenziamento della </w:t>
      </w:r>
      <w:r w:rsidRPr="00831FD3">
        <w:rPr>
          <w:rFonts w:cstheme="minorHAnsi"/>
          <w:b/>
          <w:bCs/>
        </w:rPr>
        <w:t>città pubblica</w:t>
      </w:r>
      <w:r w:rsidRPr="00831FD3">
        <w:rPr>
          <w:rFonts w:cstheme="minorHAnsi"/>
        </w:rPr>
        <w:t xml:space="preserve"> (valorizzazione dei poli culturali, scolastici sociosanitari, sportivi, naturalistici-fruitivi; qualificazione e rigenerazione della città consolidata); </w:t>
      </w:r>
      <w:r w:rsidRPr="00831FD3">
        <w:rPr>
          <w:rFonts w:cstheme="minorHAnsi"/>
          <w:b/>
          <w:bCs/>
        </w:rPr>
        <w:t>infrastrutture verdi e blu</w:t>
      </w:r>
      <w:r w:rsidRPr="00831FD3">
        <w:rPr>
          <w:rFonts w:cstheme="minorHAnsi"/>
        </w:rPr>
        <w:t xml:space="preserve"> (recupero e valorizzazione del territorio, anche in chiave di fruizione; qualificazione paesaggistico ambientale del territorio rurale; reti ciclabili per la fruizione del territorio; infrastrutture verdi e blu); </w:t>
      </w:r>
      <w:r w:rsidRPr="006614E2">
        <w:rPr>
          <w:rFonts w:cstheme="minorHAnsi"/>
          <w:b/>
          <w:bCs/>
        </w:rPr>
        <w:t>mobilità</w:t>
      </w:r>
      <w:r w:rsidRPr="00831FD3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F77E67">
        <w:rPr>
          <w:rFonts w:cstheme="minorHAnsi"/>
        </w:rPr>
        <w:t xml:space="preserve">in particolare la mobilità </w:t>
      </w:r>
      <w:r w:rsidRPr="00831FD3">
        <w:rPr>
          <w:rFonts w:cstheme="minorHAnsi"/>
        </w:rPr>
        <w:t>ciclabile e pedonale).</w:t>
      </w:r>
      <w:r>
        <w:rPr>
          <w:rFonts w:cstheme="minorHAnsi"/>
        </w:rPr>
        <w:t xml:space="preserve"> </w:t>
      </w:r>
      <w:r w:rsidRPr="00831FD3">
        <w:rPr>
          <w:rFonts w:cstheme="minorHAnsi"/>
        </w:rPr>
        <w:t xml:space="preserve">In estrema sintesi è lungo queste tre direttrici che si sviluppo </w:t>
      </w:r>
      <w:r w:rsidRPr="006614E2">
        <w:rPr>
          <w:rFonts w:cstheme="minorHAnsi"/>
          <w:b/>
          <w:bCs/>
        </w:rPr>
        <w:t>l’Agenda di trasformazione urbana per lo sviluppo sostenibile dell’Unione Terre D’Argine</w:t>
      </w:r>
      <w:r w:rsidRPr="00831FD3">
        <w:rPr>
          <w:rFonts w:cstheme="minorHAnsi"/>
        </w:rPr>
        <w:t xml:space="preserve">.  </w:t>
      </w:r>
    </w:p>
    <w:p w14:paraId="3688BBA5" w14:textId="77777777" w:rsidR="00800CCF" w:rsidRPr="00831FD3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</w:rPr>
      </w:pPr>
      <w:r w:rsidRPr="006614E2">
        <w:rPr>
          <w:rFonts w:cstheme="minorHAnsi"/>
          <w:b/>
          <w:bCs/>
        </w:rPr>
        <w:t>Nove i progetti</w:t>
      </w:r>
      <w:r w:rsidRPr="00831FD3">
        <w:rPr>
          <w:rFonts w:cstheme="minorHAnsi"/>
        </w:rPr>
        <w:t xml:space="preserve"> approvati che possono contare </w:t>
      </w:r>
      <w:r w:rsidRPr="006614E2">
        <w:rPr>
          <w:rFonts w:cstheme="minorHAnsi"/>
          <w:b/>
          <w:bCs/>
        </w:rPr>
        <w:t xml:space="preserve">su 6,5 milioni di euro di contributo Fesr e </w:t>
      </w:r>
      <w:proofErr w:type="spellStart"/>
      <w:r w:rsidRPr="006614E2">
        <w:rPr>
          <w:rFonts w:cstheme="minorHAnsi"/>
          <w:b/>
          <w:bCs/>
        </w:rPr>
        <w:t>Fse</w:t>
      </w:r>
      <w:proofErr w:type="spellEnd"/>
      <w:r w:rsidRPr="006614E2">
        <w:rPr>
          <w:rFonts w:cstheme="minorHAnsi"/>
          <w:b/>
          <w:bCs/>
        </w:rPr>
        <w:t>+</w:t>
      </w:r>
      <w:r w:rsidRPr="00831FD3">
        <w:rPr>
          <w:rFonts w:cstheme="minorHAnsi"/>
        </w:rPr>
        <w:t xml:space="preserve"> per un </w:t>
      </w:r>
      <w:r w:rsidRPr="006614E2">
        <w:rPr>
          <w:rFonts w:cstheme="minorHAnsi"/>
          <w:b/>
          <w:bCs/>
        </w:rPr>
        <w:t>investimento complessivo di oltre 9 milioni di euro</w:t>
      </w:r>
      <w:r w:rsidRPr="00831FD3">
        <w:rPr>
          <w:rFonts w:cstheme="minorHAnsi"/>
        </w:rPr>
        <w:t xml:space="preserve">. </w:t>
      </w:r>
    </w:p>
    <w:p w14:paraId="3693881A" w14:textId="77777777" w:rsidR="00800CCF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</w:rPr>
      </w:pPr>
      <w:r w:rsidRPr="00831FD3">
        <w:rPr>
          <w:rFonts w:cstheme="minorHAnsi"/>
        </w:rPr>
        <w:t>Nel dettaglio, i progetti finanziati riguardano</w:t>
      </w:r>
      <w:r>
        <w:rPr>
          <w:rFonts w:cstheme="minorHAnsi"/>
        </w:rPr>
        <w:t xml:space="preserve"> la </w:t>
      </w:r>
      <w:r w:rsidRPr="00831FD3">
        <w:rPr>
          <w:rFonts w:cstheme="minorHAnsi"/>
        </w:rPr>
        <w:t xml:space="preserve">realizzazione di un </w:t>
      </w:r>
      <w:r w:rsidRPr="00831FD3">
        <w:rPr>
          <w:rFonts w:cstheme="minorHAnsi"/>
          <w:b/>
          <w:bCs/>
        </w:rPr>
        <w:t>Laboratorio aperto di cittadinanza digitale</w:t>
      </w:r>
      <w:r w:rsidRPr="00831FD3">
        <w:rPr>
          <w:rFonts w:cstheme="minorHAnsi"/>
        </w:rPr>
        <w:t xml:space="preserve">, che </w:t>
      </w:r>
      <w:r>
        <w:rPr>
          <w:rFonts w:cstheme="minorHAnsi"/>
        </w:rPr>
        <w:t xml:space="preserve">sorgerà su tutto il territorio dell’Unione; la </w:t>
      </w:r>
      <w:r w:rsidRPr="007D0AA6">
        <w:rPr>
          <w:rFonts w:cstheme="minorHAnsi"/>
        </w:rPr>
        <w:t>riqualificazione</w:t>
      </w:r>
      <w:r w:rsidRPr="00831FD3">
        <w:rPr>
          <w:rFonts w:cstheme="minorHAnsi"/>
        </w:rPr>
        <w:t xml:space="preserve"> </w:t>
      </w:r>
      <w:r w:rsidRPr="00831FD3">
        <w:rPr>
          <w:rFonts w:cstheme="minorHAnsi"/>
          <w:b/>
          <w:bCs/>
        </w:rPr>
        <w:t>dell’edificio Taverna nel Parco della Resistenza a Novi di Modena</w:t>
      </w:r>
      <w:r w:rsidRPr="00831FD3">
        <w:rPr>
          <w:rFonts w:cstheme="minorHAnsi"/>
        </w:rPr>
        <w:t xml:space="preserve">; </w:t>
      </w:r>
      <w:r>
        <w:rPr>
          <w:rFonts w:cstheme="minorHAnsi"/>
        </w:rPr>
        <w:t xml:space="preserve">la </w:t>
      </w:r>
      <w:r w:rsidRPr="00831FD3">
        <w:rPr>
          <w:rFonts w:cstheme="minorHAnsi"/>
        </w:rPr>
        <w:t xml:space="preserve">realizzazione del </w:t>
      </w:r>
      <w:r w:rsidRPr="00831FD3">
        <w:rPr>
          <w:rFonts w:cstheme="minorHAnsi"/>
          <w:b/>
          <w:bCs/>
        </w:rPr>
        <w:t>percorso ciclopedonale Campogalliano-Borgo Dogaro</w:t>
      </w:r>
      <w:r w:rsidRPr="00831FD3">
        <w:rPr>
          <w:rFonts w:cstheme="minorHAnsi"/>
        </w:rPr>
        <w:t xml:space="preserve">; </w:t>
      </w:r>
      <w:r>
        <w:rPr>
          <w:rFonts w:cstheme="minorHAnsi"/>
        </w:rPr>
        <w:t xml:space="preserve">la </w:t>
      </w:r>
      <w:r w:rsidRPr="00831FD3">
        <w:rPr>
          <w:rFonts w:cstheme="minorHAnsi"/>
        </w:rPr>
        <w:t xml:space="preserve">realizzazione di alcuni </w:t>
      </w:r>
      <w:r w:rsidRPr="00831FD3">
        <w:rPr>
          <w:rFonts w:cstheme="minorHAnsi"/>
          <w:b/>
          <w:bCs/>
        </w:rPr>
        <w:t>percorsi ciclabili nel comune di Soliera</w:t>
      </w:r>
      <w:r w:rsidRPr="00831FD3">
        <w:rPr>
          <w:rFonts w:cstheme="minorHAnsi"/>
        </w:rPr>
        <w:t xml:space="preserve">;  </w:t>
      </w:r>
      <w:r>
        <w:rPr>
          <w:rFonts w:cstheme="minorHAnsi"/>
        </w:rPr>
        <w:t xml:space="preserve">la </w:t>
      </w:r>
      <w:r w:rsidRPr="00831FD3">
        <w:rPr>
          <w:rFonts w:cstheme="minorHAnsi"/>
        </w:rPr>
        <w:t xml:space="preserve">riqualificazione del </w:t>
      </w:r>
      <w:r w:rsidRPr="00831FD3">
        <w:rPr>
          <w:rFonts w:cstheme="minorHAnsi"/>
          <w:b/>
          <w:bCs/>
        </w:rPr>
        <w:t>Comando di Polizia locale</w:t>
      </w:r>
      <w:r w:rsidRPr="00831FD3">
        <w:rPr>
          <w:rFonts w:cstheme="minorHAnsi"/>
        </w:rPr>
        <w:t xml:space="preserve"> </w:t>
      </w:r>
      <w:r w:rsidRPr="001D426E">
        <w:rPr>
          <w:rFonts w:cstheme="minorHAnsi"/>
        </w:rPr>
        <w:t xml:space="preserve">a </w:t>
      </w:r>
      <w:r w:rsidRPr="001D426E">
        <w:rPr>
          <w:rFonts w:cstheme="minorHAnsi"/>
          <w:b/>
          <w:bCs/>
        </w:rPr>
        <w:t>Carpi</w:t>
      </w:r>
      <w:r w:rsidRPr="00831FD3">
        <w:rPr>
          <w:rFonts w:cstheme="minorHAnsi"/>
        </w:rPr>
        <w:t xml:space="preserve"> e – </w:t>
      </w:r>
      <w:r w:rsidRPr="00A970F0">
        <w:rPr>
          <w:rFonts w:cstheme="minorHAnsi"/>
        </w:rPr>
        <w:t>sempre a Carpi</w:t>
      </w:r>
      <w:r w:rsidRPr="00831FD3">
        <w:rPr>
          <w:rFonts w:cstheme="minorHAnsi"/>
        </w:rPr>
        <w:t xml:space="preserve"> –  la realizzazione della nuova sede dei </w:t>
      </w:r>
      <w:r w:rsidRPr="00831FD3">
        <w:rPr>
          <w:rFonts w:cstheme="minorHAnsi"/>
          <w:b/>
          <w:bCs/>
        </w:rPr>
        <w:t>Servizi sociali territoriali</w:t>
      </w:r>
      <w:r w:rsidRPr="00831FD3">
        <w:rPr>
          <w:rFonts w:cstheme="minorHAnsi"/>
        </w:rPr>
        <w:t xml:space="preserve"> all’interno dell’ex sede di </w:t>
      </w:r>
      <w:r>
        <w:rPr>
          <w:rFonts w:cstheme="minorHAnsi"/>
        </w:rPr>
        <w:t>R</w:t>
      </w:r>
      <w:r w:rsidRPr="00831FD3">
        <w:rPr>
          <w:rFonts w:cstheme="minorHAnsi"/>
        </w:rPr>
        <w:t>adio Bruno; ancora</w:t>
      </w:r>
      <w:r>
        <w:rPr>
          <w:rFonts w:cstheme="minorHAnsi"/>
        </w:rPr>
        <w:t xml:space="preserve"> a</w:t>
      </w:r>
      <w:r w:rsidRPr="00831FD3">
        <w:rPr>
          <w:rFonts w:cstheme="minorHAnsi"/>
        </w:rPr>
        <w:t xml:space="preserve"> Carpi la ristrutturazione del fabbricato dell’ex Mercato Coperto che diventerà il </w:t>
      </w:r>
      <w:r w:rsidRPr="00831FD3">
        <w:rPr>
          <w:rFonts w:cstheme="minorHAnsi"/>
          <w:b/>
          <w:bCs/>
        </w:rPr>
        <w:t>nuovo Centro di formazione professionale</w:t>
      </w:r>
      <w:r w:rsidRPr="00831FD3">
        <w:rPr>
          <w:rFonts w:cstheme="minorHAnsi"/>
        </w:rPr>
        <w:t>.</w:t>
      </w:r>
      <w:r>
        <w:rPr>
          <w:rFonts w:cstheme="minorHAnsi"/>
        </w:rPr>
        <w:t xml:space="preserve"> P</w:t>
      </w:r>
      <w:r w:rsidRPr="00831FD3">
        <w:rPr>
          <w:rFonts w:cstheme="minorHAnsi"/>
        </w:rPr>
        <w:t xml:space="preserve">revista </w:t>
      </w:r>
      <w:r>
        <w:rPr>
          <w:rFonts w:cstheme="minorHAnsi"/>
        </w:rPr>
        <w:t xml:space="preserve">anche </w:t>
      </w:r>
      <w:r w:rsidRPr="00831FD3">
        <w:rPr>
          <w:rFonts w:cstheme="minorHAnsi"/>
        </w:rPr>
        <w:t xml:space="preserve">la realizzazione del </w:t>
      </w:r>
      <w:r w:rsidRPr="00831FD3">
        <w:rPr>
          <w:rFonts w:cstheme="minorHAnsi"/>
          <w:b/>
          <w:bCs/>
        </w:rPr>
        <w:t xml:space="preserve">Centro </w:t>
      </w:r>
      <w:proofErr w:type="gramStart"/>
      <w:r w:rsidRPr="00831FD3">
        <w:rPr>
          <w:rFonts w:cstheme="minorHAnsi"/>
          <w:b/>
          <w:bCs/>
        </w:rPr>
        <w:t>socio-occupazionale</w:t>
      </w:r>
      <w:proofErr w:type="gramEnd"/>
      <w:r>
        <w:rPr>
          <w:rFonts w:cstheme="minorHAnsi"/>
          <w:b/>
          <w:bCs/>
        </w:rPr>
        <w:t xml:space="preserve"> </w:t>
      </w:r>
      <w:r w:rsidRPr="00831FD3">
        <w:rPr>
          <w:rFonts w:cstheme="minorHAnsi"/>
          <w:b/>
          <w:bCs/>
        </w:rPr>
        <w:t>diurno</w:t>
      </w:r>
      <w:r w:rsidRPr="00831FD3">
        <w:rPr>
          <w:rFonts w:cstheme="minorHAnsi"/>
        </w:rPr>
        <w:t xml:space="preserve"> per le persone disabili a </w:t>
      </w:r>
      <w:r>
        <w:rPr>
          <w:rFonts w:cstheme="minorHAnsi"/>
        </w:rPr>
        <w:t xml:space="preserve">Carpi, </w:t>
      </w:r>
      <w:r w:rsidRPr="00831FD3">
        <w:rPr>
          <w:rFonts w:cstheme="minorHAnsi"/>
        </w:rPr>
        <w:t>oltre a</w:t>
      </w:r>
      <w:r>
        <w:rPr>
          <w:rFonts w:cstheme="minorHAnsi"/>
        </w:rPr>
        <w:t xml:space="preserve">d un </w:t>
      </w:r>
      <w:r w:rsidRPr="00831FD3">
        <w:rPr>
          <w:rFonts w:cstheme="minorHAnsi"/>
        </w:rPr>
        <w:t xml:space="preserve">progetto per promuovere </w:t>
      </w:r>
      <w:r w:rsidRPr="00831FD3">
        <w:rPr>
          <w:rFonts w:cstheme="minorHAnsi"/>
          <w:b/>
          <w:bCs/>
        </w:rPr>
        <w:t>l’inclusione sociale dei bambini in età 0-6 anni</w:t>
      </w:r>
      <w:r w:rsidRPr="00831FD3">
        <w:rPr>
          <w:rFonts w:cstheme="minorHAnsi"/>
        </w:rPr>
        <w:t xml:space="preserve"> in situazioni di fragilità personale e familiare durante il periodo estivo.</w:t>
      </w:r>
    </w:p>
    <w:p w14:paraId="54D91B25" w14:textId="77777777" w:rsidR="00800CCF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</w:rPr>
      </w:pPr>
    </w:p>
    <w:p w14:paraId="27F34225" w14:textId="77777777" w:rsidR="00800CCF" w:rsidRPr="00604BA0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</w:rPr>
      </w:pPr>
      <w:r w:rsidRPr="00C44AB2">
        <w:rPr>
          <w:rFonts w:cstheme="minorHAnsi"/>
          <w:b/>
          <w:bCs/>
          <w:color w:val="1C2024"/>
          <w:shd w:val="clear" w:color="auto" w:fill="FFFFFF"/>
        </w:rPr>
        <w:t xml:space="preserve">Cosa sono le Agende </w:t>
      </w:r>
      <w:r>
        <w:rPr>
          <w:rFonts w:cstheme="minorHAnsi"/>
          <w:b/>
          <w:bCs/>
          <w:color w:val="1C2024"/>
          <w:shd w:val="clear" w:color="auto" w:fill="FFFFFF"/>
        </w:rPr>
        <w:t>trasformative urbane</w:t>
      </w:r>
      <w:r w:rsidRPr="00C44AB2">
        <w:rPr>
          <w:rFonts w:cstheme="minorHAnsi"/>
          <w:b/>
          <w:bCs/>
          <w:color w:val="1C2024"/>
          <w:shd w:val="clear" w:color="auto" w:fill="FFFFFF"/>
        </w:rPr>
        <w:t xml:space="preserve"> </w:t>
      </w:r>
    </w:p>
    <w:p w14:paraId="3A3D47E7" w14:textId="77777777" w:rsidR="00800CCF" w:rsidRPr="00F77E67" w:rsidRDefault="00800CCF" w:rsidP="00800CCF">
      <w:pPr>
        <w:spacing w:line="240" w:lineRule="auto"/>
        <w:ind w:left="113"/>
        <w:jc w:val="both"/>
        <w:rPr>
          <w:rFonts w:cstheme="minorHAnsi"/>
          <w:shd w:val="clear" w:color="auto" w:fill="FFFFFF"/>
        </w:rPr>
      </w:pPr>
      <w:r w:rsidRPr="00F77E67">
        <w:rPr>
          <w:rFonts w:cstheme="minorHAnsi"/>
        </w:rPr>
        <w:t xml:space="preserve">Vere e proprie strategie territoriali integrate che interessano </w:t>
      </w:r>
      <w:r w:rsidRPr="00F77E67">
        <w:rPr>
          <w:rFonts w:cstheme="minorHAnsi"/>
          <w:shd w:val="clear" w:color="auto" w:fill="FFFFFF"/>
        </w:rPr>
        <w:t>le </w:t>
      </w:r>
      <w:r w:rsidRPr="00F77E67">
        <w:rPr>
          <w:rStyle w:val="Enfasigrassetto"/>
          <w:rFonts w:cstheme="minorHAnsi"/>
          <w:shd w:val="clear" w:color="auto" w:fill="FFFFFF"/>
        </w:rPr>
        <w:t>città</w:t>
      </w:r>
      <w:r w:rsidRPr="00F77E67">
        <w:rPr>
          <w:rFonts w:cstheme="minorHAnsi"/>
          <w:shd w:val="clear" w:color="auto" w:fill="FFFFFF"/>
        </w:rPr>
        <w:t> e i </w:t>
      </w:r>
      <w:r w:rsidRPr="00F77E67">
        <w:rPr>
          <w:rStyle w:val="Enfasigrassetto"/>
          <w:rFonts w:cstheme="minorHAnsi"/>
          <w:shd w:val="clear" w:color="auto" w:fill="FFFFFF"/>
        </w:rPr>
        <w:t>sistemi territoriali urbani e intermedi, </w:t>
      </w:r>
      <w:r w:rsidRPr="00F77E67">
        <w:rPr>
          <w:rFonts w:cstheme="minorHAnsi"/>
          <w:shd w:val="clear" w:color="auto" w:fill="FFFFFF"/>
        </w:rPr>
        <w:t>comprese le </w:t>
      </w:r>
      <w:r w:rsidRPr="00F77E67">
        <w:rPr>
          <w:rStyle w:val="Enfasigrassetto"/>
          <w:rFonts w:cstheme="minorHAnsi"/>
          <w:shd w:val="clear" w:color="auto" w:fill="FFFFFF"/>
        </w:rPr>
        <w:t>Unioni di Comuni </w:t>
      </w:r>
      <w:r w:rsidRPr="00F77E67">
        <w:rPr>
          <w:rFonts w:cstheme="minorHAnsi"/>
          <w:shd w:val="clear" w:color="auto" w:fill="FFFFFF"/>
        </w:rPr>
        <w:t>con popolazione superiore ai </w:t>
      </w:r>
      <w:r w:rsidRPr="00F77E67">
        <w:rPr>
          <w:rStyle w:val="Enfasigrassetto"/>
          <w:rFonts w:cstheme="minorHAnsi"/>
          <w:shd w:val="clear" w:color="auto" w:fill="FFFFFF"/>
        </w:rPr>
        <w:t>50mila abitanti</w:t>
      </w:r>
      <w:r w:rsidRPr="00F77E67">
        <w:rPr>
          <w:rFonts w:cstheme="minorHAnsi"/>
          <w:shd w:val="clear" w:color="auto" w:fill="FFFFFF"/>
        </w:rPr>
        <w:t xml:space="preserve"> e in possesso di determinati requisiti, le </w:t>
      </w:r>
      <w:r w:rsidRPr="00F77E67">
        <w:rPr>
          <w:rFonts w:cstheme="minorHAnsi"/>
          <w:b/>
          <w:bCs/>
          <w:shd w:val="clear" w:color="auto" w:fill="FFFFFF"/>
        </w:rPr>
        <w:t xml:space="preserve">Agende </w:t>
      </w:r>
      <w:r>
        <w:rPr>
          <w:rFonts w:cstheme="minorHAnsi"/>
          <w:b/>
          <w:bCs/>
          <w:shd w:val="clear" w:color="auto" w:fill="FFFFFF"/>
        </w:rPr>
        <w:t>trasformative urbane</w:t>
      </w:r>
      <w:r w:rsidRPr="00F77E67">
        <w:rPr>
          <w:rFonts w:cstheme="minorHAnsi"/>
          <w:b/>
          <w:bCs/>
          <w:shd w:val="clear" w:color="auto" w:fill="FFFFFF"/>
        </w:rPr>
        <w:t xml:space="preserve"> per lo sviluppo sostenibile</w:t>
      </w:r>
      <w:r w:rsidRPr="00F77E67">
        <w:rPr>
          <w:rFonts w:cstheme="minorHAnsi"/>
          <w:shd w:val="clear" w:color="auto" w:fill="FFFFFF"/>
        </w:rPr>
        <w:t xml:space="preserve"> sono lo strumento individuato dalla </w:t>
      </w:r>
      <w:r w:rsidRPr="0038138D">
        <w:rPr>
          <w:rFonts w:cstheme="minorHAnsi"/>
          <w:b/>
          <w:bCs/>
          <w:shd w:val="clear" w:color="auto" w:fill="FFFFFF"/>
        </w:rPr>
        <w:t>Regione</w:t>
      </w:r>
      <w:r w:rsidRPr="00F77E67">
        <w:rPr>
          <w:rFonts w:cstheme="minorHAnsi"/>
          <w:shd w:val="clear" w:color="auto" w:fill="FFFFFF"/>
        </w:rPr>
        <w:t xml:space="preserve"> per indirizzare verso obiettivi comuni e condivisi la programmazione delle risorse europee 2021-2027. Peculiarità delle strategie </w:t>
      </w:r>
      <w:proofErr w:type="spellStart"/>
      <w:r w:rsidRPr="00F77E67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>tuss</w:t>
      </w:r>
      <w:proofErr w:type="spellEnd"/>
      <w:r w:rsidRPr="00F77E67">
        <w:rPr>
          <w:rFonts w:cstheme="minorHAnsi"/>
          <w:shd w:val="clear" w:color="auto" w:fill="FFFFFF"/>
        </w:rPr>
        <w:t xml:space="preserve"> è infatti la possibilità di programmare in modo diretto e integrato i fondi strutturali europei, a partire da FESR (Fondo Europeo di Sviluppo Regionale) e FSE+ (Fondo Sociale Europeo Plus). Risorse da coordinare e ottimizzare anche per massimizzare gli effetti degli investimenti del PNRR.</w:t>
      </w:r>
    </w:p>
    <w:p w14:paraId="5BFC472D" w14:textId="7D74B247" w:rsidR="00800CCF" w:rsidRPr="00466F77" w:rsidRDefault="00800CCF" w:rsidP="00800CCF">
      <w:pPr>
        <w:spacing w:line="240" w:lineRule="auto"/>
        <w:ind w:left="113"/>
        <w:jc w:val="both"/>
        <w:rPr>
          <w:rFonts w:cstheme="minorHAnsi"/>
          <w:color w:val="1C2024"/>
          <w:shd w:val="clear" w:color="auto" w:fill="FFFFFF"/>
        </w:rPr>
      </w:pPr>
      <w:r w:rsidRPr="00466F77">
        <w:rPr>
          <w:rFonts w:cstheme="minorHAnsi"/>
          <w:color w:val="1C2024"/>
          <w:shd w:val="clear" w:color="auto" w:fill="FFFFFF"/>
        </w:rPr>
        <w:t>De</w:t>
      </w:r>
      <w:r>
        <w:rPr>
          <w:rFonts w:cstheme="minorHAnsi"/>
          <w:color w:val="1C2024"/>
          <w:shd w:val="clear" w:color="auto" w:fill="FFFFFF"/>
        </w:rPr>
        <w:t>i</w:t>
      </w:r>
      <w:r w:rsidRPr="00466F77">
        <w:rPr>
          <w:rFonts w:cstheme="minorHAnsi"/>
          <w:color w:val="1C2024"/>
          <w:shd w:val="clear" w:color="auto" w:fill="FFFFFF"/>
        </w:rPr>
        <w:t xml:space="preserve"> 109</w:t>
      </w:r>
      <w:r>
        <w:rPr>
          <w:rFonts w:cstheme="minorHAnsi"/>
          <w:color w:val="1C2024"/>
          <w:shd w:val="clear" w:color="auto" w:fill="FFFFFF"/>
        </w:rPr>
        <w:t>,3</w:t>
      </w:r>
      <w:r w:rsidRPr="00466F77">
        <w:rPr>
          <w:rFonts w:cstheme="minorHAnsi"/>
          <w:color w:val="1C2024"/>
          <w:shd w:val="clear" w:color="auto" w:fill="FFFFFF"/>
        </w:rPr>
        <w:t xml:space="preserve"> milioni di euro a disposizione: 99,3 milioni provengono dal Fondo europeo di sviluppo regionale (Fesr) e 10 milioni del Fondo sociale europeo Plus (</w:t>
      </w:r>
      <w:proofErr w:type="spellStart"/>
      <w:r w:rsidRPr="00466F77">
        <w:rPr>
          <w:rFonts w:cstheme="minorHAnsi"/>
          <w:color w:val="1C2024"/>
          <w:shd w:val="clear" w:color="auto" w:fill="FFFFFF"/>
        </w:rPr>
        <w:t>Fse</w:t>
      </w:r>
      <w:proofErr w:type="spellEnd"/>
      <w:r w:rsidRPr="00466F77">
        <w:rPr>
          <w:rFonts w:cstheme="minorHAnsi"/>
          <w:color w:val="1C2024"/>
          <w:shd w:val="clear" w:color="auto" w:fill="FFFFFF"/>
        </w:rPr>
        <w:t>+).  Complessivamente Comuni e Unioni hanno presentato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108 proposte</w:t>
      </w:r>
      <w:r w:rsidRPr="00466F77">
        <w:rPr>
          <w:rFonts w:cstheme="minorHAnsi"/>
          <w:color w:val="1C2024"/>
          <w:shd w:val="clear" w:color="auto" w:fill="FFFFFF"/>
        </w:rPr>
        <w:t>: 14 riguardano le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comunità digitali</w:t>
      </w:r>
      <w:r w:rsidRPr="00466F77">
        <w:rPr>
          <w:rFonts w:cstheme="minorHAnsi"/>
          <w:color w:val="1C2024"/>
          <w:shd w:val="clear" w:color="auto" w:fill="FFFFFF"/>
        </w:rPr>
        <w:t>, 23 le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infrastrutture verdi</w:t>
      </w:r>
      <w:r w:rsidRPr="00466F77">
        <w:rPr>
          <w:rFonts w:cstheme="minorHAnsi"/>
          <w:color w:val="1C2024"/>
          <w:shd w:val="clear" w:color="auto" w:fill="FFFFFF"/>
        </w:rPr>
        <w:t> e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l’energia rinnovabile</w:t>
      </w:r>
      <w:r w:rsidRPr="00466F77">
        <w:rPr>
          <w:rFonts w:cstheme="minorHAnsi"/>
          <w:color w:val="1C2024"/>
          <w:shd w:val="clear" w:color="auto" w:fill="FFFFFF"/>
        </w:rPr>
        <w:t>, 53 la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rigenerazione urbana</w:t>
      </w:r>
      <w:r w:rsidRPr="00466F77">
        <w:rPr>
          <w:rFonts w:cstheme="minorHAnsi"/>
          <w:color w:val="1C2024"/>
          <w:shd w:val="clear" w:color="auto" w:fill="FFFFFF"/>
        </w:rPr>
        <w:t>, il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cicloturismo</w:t>
      </w:r>
      <w:r w:rsidRPr="00466F77">
        <w:rPr>
          <w:rFonts w:cstheme="minorHAnsi"/>
          <w:color w:val="1C2024"/>
          <w:shd w:val="clear" w:color="auto" w:fill="FFFFFF"/>
        </w:rPr>
        <w:t>, la 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cultura</w:t>
      </w:r>
      <w:r w:rsidRPr="00466F77">
        <w:rPr>
          <w:rFonts w:cstheme="minorHAnsi"/>
          <w:color w:val="1C2024"/>
          <w:shd w:val="clear" w:color="auto" w:fill="FFFFFF"/>
        </w:rPr>
        <w:t>, 18 l’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inclusione sociale</w:t>
      </w:r>
      <w:r w:rsidRPr="00466F77">
        <w:rPr>
          <w:rFonts w:cstheme="minorHAnsi"/>
          <w:color w:val="1C2024"/>
          <w:shd w:val="clear" w:color="auto" w:fill="FFFFFF"/>
        </w:rPr>
        <w:t> e l’</w:t>
      </w:r>
      <w:r w:rsidRPr="00466F77">
        <w:rPr>
          <w:rStyle w:val="Enfasigrassetto"/>
          <w:rFonts w:cstheme="minorHAnsi"/>
          <w:color w:val="1C2024"/>
          <w:shd w:val="clear" w:color="auto" w:fill="FFFFFF"/>
        </w:rPr>
        <w:t>orientamento dei giovani</w:t>
      </w:r>
      <w:r w:rsidRPr="00800CCF">
        <w:rPr>
          <w:rStyle w:val="Enfasigrassetto"/>
          <w:rFonts w:cstheme="minorHAnsi"/>
          <w:b w:val="0"/>
          <w:bCs w:val="0"/>
          <w:color w:val="1C2024"/>
          <w:shd w:val="clear" w:color="auto" w:fill="FFFFFF"/>
        </w:rPr>
        <w:t>.</w:t>
      </w:r>
      <w:r w:rsidRPr="00800CCF">
        <w:rPr>
          <w:rStyle w:val="Enfasigrassetto"/>
          <w:rFonts w:cstheme="minorHAnsi"/>
          <w:b w:val="0"/>
          <w:bCs w:val="0"/>
          <w:color w:val="1C2024"/>
          <w:shd w:val="clear" w:color="auto" w:fill="FFFFFF"/>
        </w:rPr>
        <w:t xml:space="preserve"> </w:t>
      </w:r>
    </w:p>
    <w:p w14:paraId="78437684" w14:textId="77777777" w:rsidR="00800CCF" w:rsidRPr="00ED16EF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  <w:color w:val="1C2024"/>
          <w:shd w:val="clear" w:color="auto" w:fill="FFFFFF"/>
        </w:rPr>
      </w:pPr>
    </w:p>
    <w:p w14:paraId="4F2698BE" w14:textId="77777777" w:rsidR="00800CCF" w:rsidRPr="00ED16EF" w:rsidRDefault="00800CCF" w:rsidP="0080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jc w:val="both"/>
        <w:rPr>
          <w:rFonts w:cstheme="minorHAnsi"/>
          <w:color w:val="1C2024"/>
          <w:shd w:val="clear" w:color="auto" w:fill="FFFFFF"/>
        </w:rPr>
      </w:pPr>
    </w:p>
    <w:p w14:paraId="0BF9FFE8" w14:textId="77777777" w:rsidR="00E404AB" w:rsidRDefault="00E404AB"/>
    <w:sectPr w:rsidR="00E4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CF"/>
    <w:rsid w:val="00800CCF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A40"/>
  <w15:chartTrackingRefBased/>
  <w15:docId w15:val="{727E10F4-C7FA-4712-A987-8EC4F3CF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C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0CCF"/>
    <w:rPr>
      <w:b/>
      <w:bCs/>
    </w:rPr>
  </w:style>
  <w:style w:type="table" w:styleId="Grigliatabella">
    <w:name w:val="Table Grid"/>
    <w:basedOn w:val="Tabellanormale"/>
    <w:uiPriority w:val="39"/>
    <w:rsid w:val="0080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2023-04-26T09:37:00Z</dcterms:created>
  <dcterms:modified xsi:type="dcterms:W3CDTF">2023-04-26T09:38:00Z</dcterms:modified>
</cp:coreProperties>
</file>